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76E" w:rsidRDefault="00BB176E">
      <w:pPr>
        <w:pStyle w:val="a3"/>
        <w:rPr>
          <w:sz w:val="24"/>
        </w:rPr>
      </w:pPr>
      <w:r>
        <w:rPr>
          <w:sz w:val="24"/>
        </w:rPr>
        <w:t>ПРОТОКОЛ</w:t>
      </w:r>
    </w:p>
    <w:p w:rsidR="00BB176E" w:rsidRDefault="00BB176E">
      <w:pPr>
        <w:pStyle w:val="a4"/>
        <w:rPr>
          <w:bCs/>
          <w:sz w:val="24"/>
        </w:rPr>
      </w:pPr>
      <w:r>
        <w:rPr>
          <w:bCs/>
          <w:sz w:val="24"/>
        </w:rPr>
        <w:t>заседания  Комиссии по аккредитации</w:t>
      </w:r>
    </w:p>
    <w:p w:rsidR="00BB176E" w:rsidRDefault="00BB176E">
      <w:pPr>
        <w:jc w:val="center"/>
      </w:pPr>
      <w:r>
        <w:t xml:space="preserve">Единой системы оценки соответствия в области промышленной, экологической безопасности, </w:t>
      </w:r>
    </w:p>
    <w:p w:rsidR="00BB176E" w:rsidRDefault="00BB176E">
      <w:pPr>
        <w:jc w:val="center"/>
        <w:rPr>
          <w:bCs/>
        </w:rPr>
      </w:pPr>
      <w:r>
        <w:t>безопасности в энергетике и строительстве.</w:t>
      </w:r>
    </w:p>
    <w:p w:rsidR="00BB176E" w:rsidRDefault="00BB176E">
      <w:pPr>
        <w:jc w:val="center"/>
        <w:rPr>
          <w:bCs/>
        </w:rPr>
      </w:pPr>
    </w:p>
    <w:p w:rsidR="00BB176E" w:rsidRDefault="00100BDC">
      <w:pPr>
        <w:rPr>
          <w:bCs/>
        </w:rPr>
      </w:pPr>
      <w:r>
        <w:t>10.11.2020</w:t>
      </w:r>
      <w:r w:rsidR="00BB176E">
        <w:rPr>
          <w:bCs/>
        </w:rPr>
        <w:t xml:space="preserve"> </w:t>
      </w:r>
    </w:p>
    <w:p w:rsidR="00BB176E" w:rsidRDefault="00BB176E">
      <w:pPr>
        <w:jc w:val="right"/>
      </w:pPr>
      <w:r>
        <w:t>№ СДА-КА–</w:t>
      </w:r>
      <w:r w:rsidR="00100BDC">
        <w:t>226-НОАП-126-ПРОЕКТ</w:t>
      </w:r>
    </w:p>
    <w:p w:rsidR="00BB176E" w:rsidRDefault="00BB176E">
      <w:pPr>
        <w:pStyle w:val="20"/>
      </w:pPr>
    </w:p>
    <w:p w:rsidR="00BB176E" w:rsidRDefault="00BB176E">
      <w:pPr>
        <w:pStyle w:val="20"/>
      </w:pPr>
    </w:p>
    <w:p w:rsidR="00BB176E" w:rsidRPr="00EF3A92" w:rsidRDefault="005075F2">
      <w:pPr>
        <w:pStyle w:val="20"/>
        <w:rPr>
          <w:b w:val="0"/>
          <w:bCs/>
        </w:rPr>
      </w:pPr>
      <w:r>
        <w:rPr>
          <w:b w:val="0"/>
        </w:rPr>
        <w:t xml:space="preserve">Повестка дня: </w:t>
      </w:r>
      <w:r w:rsidR="00BB176E" w:rsidRPr="00EF3A92">
        <w:rPr>
          <w:b w:val="0"/>
        </w:rPr>
        <w:t xml:space="preserve"> рассмотрение документов на аккредитацию в качестве Независимых органов по аттестации (сертификации) персонала </w:t>
      </w:r>
      <w:r>
        <w:rPr>
          <w:b w:val="0"/>
        </w:rPr>
        <w:t>(НОАП)</w:t>
      </w:r>
      <w:r w:rsidR="00BB176E" w:rsidRPr="00EF3A92">
        <w:rPr>
          <w:b w:val="0"/>
          <w:bCs/>
        </w:rPr>
        <w:t>.</w:t>
      </w:r>
    </w:p>
    <w:p w:rsidR="00BB176E" w:rsidRPr="00100BDC" w:rsidRDefault="00BB176E">
      <w:pPr>
        <w:tabs>
          <w:tab w:val="left" w:pos="12049"/>
        </w:tabs>
        <w:rPr>
          <w:rFonts w:ascii="Arial" w:hAnsi="Arial" w:cs="Arial"/>
        </w:rPr>
      </w:pPr>
    </w:p>
    <w:tbl>
      <w:tblPr>
        <w:tblW w:w="15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0"/>
        <w:gridCol w:w="2058"/>
        <w:gridCol w:w="4758"/>
        <w:gridCol w:w="2545"/>
        <w:gridCol w:w="1701"/>
        <w:gridCol w:w="1796"/>
      </w:tblGrid>
      <w:tr w:rsidR="00BB176E" w:rsidTr="00100BDC">
        <w:trPr>
          <w:tblHeader/>
          <w:jc w:val="center"/>
        </w:trPr>
        <w:tc>
          <w:tcPr>
            <w:tcW w:w="4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6E" w:rsidRDefault="00BB176E">
            <w:r>
              <w:t>Организация</w:t>
            </w:r>
            <w:r>
              <w:rPr>
                <w:rStyle w:val="a7"/>
              </w:rPr>
              <w:footnoteReference w:customMarkFollows="1" w:id="1"/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6E" w:rsidRDefault="00BB176E">
            <w:pPr>
              <w:jc w:val="center"/>
              <w:rPr>
                <w:szCs w:val="20"/>
              </w:rPr>
            </w:pPr>
            <w:r>
              <w:t>Объекты испытаний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76E" w:rsidRDefault="00BB176E">
            <w:pPr>
              <w:jc w:val="center"/>
              <w:rPr>
                <w:szCs w:val="20"/>
              </w:rPr>
            </w:pPr>
            <w:r>
              <w:t>Виды</w:t>
            </w:r>
            <w:r w:rsidR="005075F2">
              <w:t xml:space="preserve"> </w:t>
            </w:r>
            <w:r>
              <w:t xml:space="preserve">(методы) </w:t>
            </w:r>
            <w:r w:rsidR="005075F2">
              <w:t>контроля (</w:t>
            </w:r>
            <w:r>
              <w:t>испытаний</w:t>
            </w:r>
            <w:r w:rsidR="005075F2"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B176E" w:rsidRDefault="00BB176E" w:rsidP="005075F2">
            <w:pPr>
              <w:jc w:val="center"/>
            </w:pPr>
            <w:r>
              <w:t>Уровни квалификации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176E" w:rsidRDefault="00BB176E" w:rsidP="005075F2">
            <w:pPr>
              <w:jc w:val="center"/>
            </w:pPr>
            <w:r>
              <w:t>Результаты рассмотрения</w:t>
            </w:r>
          </w:p>
        </w:tc>
      </w:tr>
      <w:tr w:rsidR="00BB176E" w:rsidTr="00100BDC">
        <w:trPr>
          <w:trHeight w:val="112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Pr="00100BDC" w:rsidRDefault="00100BDC">
            <w:r w:rsidRPr="00100BDC">
              <w:t>1</w:t>
            </w:r>
            <w:r w:rsidR="00BB176E" w:rsidRPr="00100BDC">
              <w:t xml:space="preserve">. </w:t>
            </w:r>
            <w:r w:rsidRPr="00100BDC">
              <w:t>Общество с ограниченной ответственностью "Межотраслевой центр оценки квалификации "ТЕХНОПРОГРЕСС"</w:t>
            </w:r>
          </w:p>
          <w:p w:rsidR="00027EC1" w:rsidRPr="00100BDC" w:rsidRDefault="00027EC1"/>
          <w:p w:rsidR="00027EC1" w:rsidRPr="00100BDC" w:rsidRDefault="00027EC1"/>
          <w:p w:rsidR="00BB176E" w:rsidRPr="00027EC1" w:rsidRDefault="00100BDC">
            <w:pPr>
              <w:rPr>
                <w:lang w:val="en-US"/>
              </w:rPr>
            </w:pPr>
            <w:r>
              <w:rPr>
                <w:lang w:val="en-US"/>
              </w:rPr>
              <w:t>ООО "МЦОК "ТЕХНОПРОГРЕСС"</w:t>
            </w:r>
            <w:r w:rsidR="00BB176E" w:rsidRPr="00027EC1">
              <w:rPr>
                <w:lang w:val="en-US"/>
              </w:rPr>
              <w:t xml:space="preserve"> </w:t>
            </w:r>
            <w:r w:rsidR="00BB176E" w:rsidRPr="00EF3A92">
              <w:rPr>
                <w:lang w:val="en-US"/>
              </w:rPr>
              <w:t>(</w:t>
            </w:r>
            <w:r>
              <w:rPr>
                <w:lang w:val="en-US"/>
              </w:rPr>
              <w:t>РСШ</w:t>
            </w:r>
            <w:r w:rsidR="00BB176E" w:rsidRPr="00EF3A92">
              <w:rPr>
                <w:lang w:val="en-US"/>
              </w:rPr>
              <w:t>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Default="00100BDC">
            <w:r>
              <w:t>109548</w:t>
            </w:r>
            <w:r w:rsidR="00BB176E">
              <w:t xml:space="preserve">. </w:t>
            </w:r>
            <w:r>
              <w:t xml:space="preserve">Российская Федерация, г. Москва, Проектируемый проезд 4062-й, </w:t>
            </w:r>
            <w:r>
              <w:br/>
              <w:t>д. 6, стр. 16, эт. 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Pr="00100BDC" w:rsidRDefault="00100BDC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  <w:r w:rsidR="00BB176E"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горнорудной промышленности: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Здания и сооружения поверхностных комплексов рудников, обогатительных фабрик, фабрик окомкования и аглофабрик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Шахтные подъемные машины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Горно-транспортное и горно-обогатительное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угольной промышленности: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Шахтные подъемные машины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Вентиляторы главного проветривания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Горно-транспортное и углеобогатительное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железнодорожного транспорта: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9.1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Транспортные средства (цистерны, контейнеры), тара, упаковка, предназначенные для транспортирования опасных веществ (кроме перевозки сжиженных токсичных газов)</w:t>
            </w:r>
          </w:p>
          <w:p w:rsidR="00100BDC" w:rsidRPr="0063689C" w:rsidRDefault="00100BDC" w:rsidP="00100BDC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lastRenderedPageBreak/>
              <w:t>9.2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Подъездные пути необщего пользования</w:t>
            </w:r>
          </w:p>
          <w:p w:rsidR="00BB176E" w:rsidRPr="0063689C" w:rsidRDefault="00BB176E" w:rsidP="00100BDC">
            <w:pPr>
              <w:rPr>
                <w:szCs w:val="20"/>
                <w:lang w:val="en-US"/>
              </w:rPr>
            </w:pPr>
          </w:p>
          <w:p w:rsidR="00BB176E" w:rsidRPr="0063689C" w:rsidRDefault="00BB176E">
            <w:pPr>
              <w:rPr>
                <w:szCs w:val="20"/>
              </w:rPr>
            </w:pPr>
          </w:p>
          <w:p w:rsidR="00BB176E" w:rsidRDefault="00BB176E">
            <w:pPr>
              <w:rPr>
                <w:lang w:val="en-US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Pr="00100BDC" w:rsidRDefault="00100BDC">
            <w:pPr>
              <w:rPr>
                <w:szCs w:val="20"/>
              </w:rPr>
            </w:pPr>
            <w:r w:rsidRPr="00100BDC">
              <w:rPr>
                <w:szCs w:val="20"/>
              </w:rPr>
              <w:lastRenderedPageBreak/>
              <w:t>2.</w:t>
            </w:r>
            <w:r w:rsidR="00BB176E" w:rsidRPr="00100BDC">
              <w:rPr>
                <w:szCs w:val="20"/>
              </w:rPr>
              <w:t xml:space="preserve"> </w:t>
            </w:r>
            <w:r w:rsidRPr="00100BDC">
              <w:rPr>
                <w:szCs w:val="20"/>
              </w:rPr>
              <w:t>Ультразвуковой: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2.1. Ультразвуковая дефектоскопия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2.2. Ультразвуковая толщинометрия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11. Визуальный и измерительный</w:t>
            </w:r>
          </w:p>
          <w:p w:rsidR="00BB176E" w:rsidRPr="00100BDC" w:rsidRDefault="00BB176E" w:rsidP="00100BD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Pr="0063689C" w:rsidRDefault="00100BDC">
            <w:pPr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(I)</w:t>
            </w:r>
            <w:r w:rsidR="00BB176E" w:rsidRPr="0063689C">
              <w:rPr>
                <w:rFonts w:eastAsia="Arial Unicode MS"/>
                <w:lang w:val="en-US"/>
              </w:rPr>
              <w:t xml:space="preserve"> </w:t>
            </w:r>
            <w:r>
              <w:rPr>
                <w:rFonts w:eastAsia="Arial Unicode MS"/>
                <w:lang w:val="en-US"/>
              </w:rPr>
              <w:t>первый</w:t>
            </w:r>
            <w:r w:rsidR="00BB176E" w:rsidRPr="0063689C">
              <w:rPr>
                <w:rFonts w:eastAsia="Arial Unicode MS"/>
              </w:rPr>
              <w:t>,</w:t>
            </w:r>
          </w:p>
          <w:p w:rsidR="00BB176E" w:rsidRPr="0063689C" w:rsidRDefault="00100BDC" w:rsidP="00100BDC">
            <w:pPr>
              <w:rPr>
                <w:rFonts w:eastAsia="Arial Unicode MS"/>
              </w:rPr>
            </w:pPr>
            <w:r>
              <w:rPr>
                <w:rFonts w:eastAsia="Arial Unicode MS"/>
                <w:lang w:val="en-US"/>
              </w:rPr>
              <w:t>(II)</w:t>
            </w:r>
            <w:r w:rsidRPr="0063689C">
              <w:rPr>
                <w:rFonts w:eastAsia="Arial Unicode MS"/>
                <w:lang w:val="en-US"/>
              </w:rPr>
              <w:t xml:space="preserve"> </w:t>
            </w:r>
            <w:r>
              <w:rPr>
                <w:rFonts w:eastAsia="Arial Unicode MS"/>
                <w:lang w:val="en-US"/>
              </w:rPr>
              <w:t>второй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76E" w:rsidRDefault="00100BDC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Аккредитовать</w:t>
            </w:r>
          </w:p>
          <w:p w:rsidR="00BB176E" w:rsidRDefault="00BB176E">
            <w:pPr>
              <w:rPr>
                <w:rFonts w:eastAsia="Arial Unicode MS"/>
              </w:rPr>
            </w:pPr>
          </w:p>
        </w:tc>
      </w:tr>
      <w:tr w:rsidR="00100BDC" w:rsidTr="00100BDC">
        <w:trPr>
          <w:trHeight w:val="1120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Pr="00100BDC" w:rsidRDefault="00100BDC" w:rsidP="00BB7D8A">
            <w:r w:rsidRPr="00100BDC">
              <w:lastRenderedPageBreak/>
              <w:t>2. Частное образовательное учреждение дополнительного профессионального образования Научно-учебный центр "Регионтехсервис"</w:t>
            </w:r>
          </w:p>
          <w:p w:rsidR="00100BDC" w:rsidRPr="00100BDC" w:rsidRDefault="00100BDC" w:rsidP="00BB7D8A"/>
          <w:p w:rsidR="00100BDC" w:rsidRPr="00100BDC" w:rsidRDefault="00100BDC" w:rsidP="00BB7D8A">
            <w:r w:rsidRPr="00100BDC">
              <w:t>ЧОУ ДПО НУЦ "РТС" (РСШ)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Default="00100BDC" w:rsidP="00BB7D8A">
            <w:r>
              <w:t>660012. Российская Федерация, Красноярский край, город Красноярск, улица Полтавская, д. 38, оф. 210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Pr="00100BDC" w:rsidRDefault="00100BDC" w:rsidP="00BB7D8A">
            <w:pPr>
              <w:rPr>
                <w:szCs w:val="20"/>
              </w:rPr>
            </w:pPr>
            <w:r>
              <w:rPr>
                <w:szCs w:val="20"/>
              </w:rPr>
              <w:t>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котлонадзора: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Паровые и водогрейные котлы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Электрические котлы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Сосуды, работающие под давлением свыше 0,07 МПа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1.4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Трубопроводы пара и горячей воды с рабочим давлением пара более 0,07 МПа и температурой воды свыше 115°С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1.5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Барокамеры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Системы газоснабжения (газораспределения):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2.1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Наружные газопроводы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2.1.1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Наружные газопроводы стальные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2.1.2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Наружные газопроводы из полиэтиленовых и композиционных материалов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2.2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Внутренние газопроводы стальные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2.3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Детали и узлы, газовое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Подъемные сооружения: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Грузоподъемные краны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Подъемники (вышки)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Канатные дороги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3.4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Фуникулеры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3.5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Эскалаторы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3.6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Лифты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3.7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Краны-трубоукладчики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3.8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Краны-манипуляторы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3.9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Платформы подъемные для инвалидов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3.10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Крановые пути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горнорудной промышленности: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Здания и сооружения поверхностных комплексов рудников, обогатительных фабрик, фабрик окомкования и аглофабрик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Шахтные подъемные машины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4.3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Горно-транспортное и горно-обогатительное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угольной промышленности: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Шахтные подъемные машины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Вентиляторы главного проветривания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5.3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Горно-транспортное и углеобогатительное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нефтяной и газовой промышленности: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для бурения скважин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для эксплуатации скважин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для освоения и ремонта скважин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6.4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газонефтеперекачивающих станций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6.5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Газонефтепродуктопроводы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6.6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Резервуары для нефти и нефтепродуктов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7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металлургической промышленности: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7.1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Металлоконструкции технических устройств, зданий и сооружений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7.2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Газопроводы технологических газов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7.3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Цапфы чугуновозов, стальковшей, металлоразливочных ковшей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Оборудование взрывопожароопасных и </w:t>
            </w:r>
            <w:r>
              <w:rPr>
                <w:szCs w:val="20"/>
              </w:rPr>
              <w:lastRenderedPageBreak/>
              <w:t>химически опасных производств: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химических, нефтехимических и нефтеперерабатывающих производств, работающее под давлением до 16 МПа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химических, нефтехимических и нефтеперерабатывающих производств, работающее под давлением свыше 16 МПа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химических, нефтехимических и нефтеперерабатывающих производств, работающее под вакуумом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8.4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Резервуары для хранения взрывопожароопасных и токсичных веществ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8.5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Изотермические хранилища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8.6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Криогенное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8.7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аммиачных холодильных установок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8.8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Печи, котлы ВОТ, энерготехнологические котлы и котлы утилизаторы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8.9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Компрессорное и насосное оборудование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8.10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Центрифуги, сепараторы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8.11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Цистерны, контейнеры (бочки), баллоны для взрывопожароопасных и токсичных веществ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8.12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Технологические трубопроводы, трубопроводы пара и горячей воды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9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железнодорожного транспорта: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9.1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 xml:space="preserve">Транспортные средства (цистерны, </w:t>
            </w:r>
            <w:r>
              <w:rPr>
                <w:szCs w:val="20"/>
              </w:rPr>
              <w:lastRenderedPageBreak/>
              <w:t>контейнеры), тара, упаковка, предназначенные для транспортирования опасных веществ (кроме перевозки сжиженных токсичных газов)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9.2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Подъездные пути необщего пользования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10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Объекты хранения и переработки зерна: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10.1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Воздуходувные машины (турбокомпрессоры воздушные, турбовоздуходувки)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10.2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Вентиляторы (центробежные, радиальные, ВВД)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10.3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Дробилки молотковые, вальцовые станки, энтолейторы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Здания и сооружения (строительные объекты)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11.1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Металлические конструкции (в том числе: Стальные конструкции мостов)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11.2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Бетонные и железобетонные конструкции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>
              <w:rPr>
                <w:szCs w:val="20"/>
              </w:rPr>
              <w:t>11.3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Каменные и армокаменные конструкции</w:t>
            </w:r>
          </w:p>
          <w:p w:rsidR="00100BDC" w:rsidRPr="0063689C" w:rsidRDefault="00100BDC" w:rsidP="00100BDC">
            <w:pPr>
              <w:rPr>
                <w:szCs w:val="20"/>
                <w:lang w:val="en-US"/>
              </w:rPr>
            </w:pPr>
            <w:r>
              <w:rPr>
                <w:szCs w:val="20"/>
              </w:rPr>
              <w:t>12</w:t>
            </w:r>
            <w:r w:rsidRPr="0063689C">
              <w:rPr>
                <w:szCs w:val="20"/>
              </w:rPr>
              <w:t xml:space="preserve"> </w:t>
            </w:r>
            <w:r>
              <w:rPr>
                <w:szCs w:val="20"/>
              </w:rPr>
              <w:t>Оборудование электроэнергетики</w:t>
            </w:r>
          </w:p>
          <w:p w:rsidR="00100BDC" w:rsidRPr="0063689C" w:rsidRDefault="00100BDC" w:rsidP="00100BDC">
            <w:pPr>
              <w:rPr>
                <w:szCs w:val="20"/>
                <w:lang w:val="en-US"/>
              </w:rPr>
            </w:pPr>
          </w:p>
          <w:p w:rsidR="00100BDC" w:rsidRPr="0063689C" w:rsidRDefault="00100BDC" w:rsidP="00BB7D8A">
            <w:pPr>
              <w:rPr>
                <w:szCs w:val="20"/>
              </w:rPr>
            </w:pPr>
          </w:p>
          <w:p w:rsidR="00100BDC" w:rsidRDefault="00100BDC" w:rsidP="00BB7D8A">
            <w:pPr>
              <w:rPr>
                <w:lang w:val="en-US"/>
              </w:rPr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Pr="0063689C" w:rsidRDefault="00100BDC" w:rsidP="00BB7D8A">
            <w:pPr>
              <w:rPr>
                <w:szCs w:val="20"/>
              </w:rPr>
            </w:pPr>
            <w:r w:rsidRPr="00100BDC">
              <w:rPr>
                <w:szCs w:val="20"/>
              </w:rPr>
              <w:lastRenderedPageBreak/>
              <w:t>1. Радиационный:</w:t>
            </w:r>
          </w:p>
          <w:p w:rsidR="00100BDC" w:rsidRPr="00100BDC" w:rsidRDefault="00100BDC" w:rsidP="00BB7D8A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Только п. 10 Объекты хранения и переработки зерна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1.1. Рентгенографический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1.2. Гаммаграфический</w:t>
            </w:r>
          </w:p>
          <w:p w:rsidR="00100BDC" w:rsidRPr="0063689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2. Ультразвуковой: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Только п. 10 Объекты хранения и переработки зерна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2.1. Ультразвуковая дефектоскопия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2.2. Ультразвуковая толщинометрия</w:t>
            </w:r>
          </w:p>
          <w:p w:rsidR="00100BDC" w:rsidRPr="0063689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4. Магнитный: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Только п. 10 Объекты хранения и переработки зерна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4.1. Магнитопорошковый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6. Проникающими веществами:</w:t>
            </w:r>
          </w:p>
          <w:p w:rsidR="00100BDC" w:rsidRPr="0063689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6.1. Капиллярный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Только п. 10 Объекты хранения и переработки зерна</w:t>
            </w:r>
          </w:p>
          <w:p w:rsidR="00100BDC" w:rsidRPr="0063689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lastRenderedPageBreak/>
              <w:t>6.2. Течеискание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Кроме п. 10 Объекты хранения и переработки зерна</w:t>
            </w:r>
          </w:p>
          <w:p w:rsidR="00100BDC" w:rsidRPr="0063689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7. Вибродиагностический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Только п. 10 Объекты хранения и переработки зерна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9. Тепловой</w:t>
            </w:r>
          </w:p>
          <w:p w:rsidR="00100BDC" w:rsidRPr="0063689C" w:rsidRDefault="00100BDC" w:rsidP="00100BDC">
            <w:pPr>
              <w:rPr>
                <w:szCs w:val="20"/>
              </w:rPr>
            </w:pPr>
            <w:r w:rsidRPr="00100BDC">
              <w:rPr>
                <w:szCs w:val="20"/>
              </w:rPr>
              <w:t>11. Визуальный и измерительный</w:t>
            </w:r>
          </w:p>
          <w:p w:rsidR="00100BDC" w:rsidRPr="00100BDC" w:rsidRDefault="00100BDC" w:rsidP="00100BDC">
            <w:pPr>
              <w:rPr>
                <w:szCs w:val="20"/>
              </w:rPr>
            </w:pPr>
            <w:r w:rsidRPr="00100BDC">
              <w:rPr>
                <w:iCs/>
                <w:szCs w:val="20"/>
              </w:rPr>
              <w:t>Только п. 10 Объекты хранения и переработки зерна</w:t>
            </w:r>
          </w:p>
          <w:p w:rsidR="00100BDC" w:rsidRPr="00100BDC" w:rsidRDefault="00100BDC" w:rsidP="00100BDC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Pr="0063689C" w:rsidRDefault="00100BDC" w:rsidP="00BB7D8A">
            <w:pPr>
              <w:rPr>
                <w:rFonts w:eastAsia="Arial Unicode MS"/>
              </w:rPr>
            </w:pPr>
            <w:r w:rsidRPr="00100BDC">
              <w:rPr>
                <w:rFonts w:eastAsia="Arial Unicode MS"/>
              </w:rPr>
              <w:lastRenderedPageBreak/>
              <w:t>(</w:t>
            </w:r>
            <w:r>
              <w:rPr>
                <w:rFonts w:eastAsia="Arial Unicode MS"/>
                <w:lang w:val="en-US"/>
              </w:rPr>
              <w:t>I</w:t>
            </w:r>
            <w:r w:rsidRPr="00100BDC">
              <w:rPr>
                <w:rFonts w:eastAsia="Arial Unicode MS"/>
              </w:rPr>
              <w:t>) первый</w:t>
            </w:r>
            <w:r w:rsidRPr="0063689C">
              <w:rPr>
                <w:rFonts w:eastAsia="Arial Unicode MS"/>
              </w:rPr>
              <w:t>,</w:t>
            </w:r>
          </w:p>
          <w:p w:rsidR="00100BDC" w:rsidRPr="0063689C" w:rsidRDefault="00100BDC" w:rsidP="00100BDC">
            <w:pPr>
              <w:rPr>
                <w:rFonts w:eastAsia="Arial Unicode MS"/>
              </w:rPr>
            </w:pPr>
            <w:r w:rsidRPr="00100BDC">
              <w:rPr>
                <w:rFonts w:eastAsia="Arial Unicode MS"/>
              </w:rPr>
              <w:t>(</w:t>
            </w:r>
            <w:r>
              <w:rPr>
                <w:rFonts w:eastAsia="Arial Unicode MS"/>
                <w:lang w:val="en-US"/>
              </w:rPr>
              <w:t>II</w:t>
            </w:r>
            <w:r w:rsidRPr="00100BDC">
              <w:rPr>
                <w:rFonts w:eastAsia="Arial Unicode MS"/>
              </w:rPr>
              <w:t>) второй</w:t>
            </w:r>
            <w:r w:rsidRPr="0063689C">
              <w:rPr>
                <w:rFonts w:eastAsia="Arial Unicode MS"/>
              </w:rPr>
              <w:t>,</w:t>
            </w:r>
          </w:p>
          <w:p w:rsidR="00100BDC" w:rsidRPr="0063689C" w:rsidRDefault="00100BDC" w:rsidP="00100BDC">
            <w:pPr>
              <w:rPr>
                <w:rFonts w:eastAsia="Arial Unicode MS"/>
              </w:rPr>
            </w:pPr>
            <w:r w:rsidRPr="00100BDC">
              <w:rPr>
                <w:rFonts w:eastAsia="Arial Unicode MS"/>
              </w:rPr>
              <w:t>(</w:t>
            </w:r>
            <w:r>
              <w:rPr>
                <w:rFonts w:eastAsia="Arial Unicode MS"/>
                <w:lang w:val="en-US"/>
              </w:rPr>
              <w:t>III</w:t>
            </w:r>
            <w:r w:rsidRPr="00100BDC">
              <w:rPr>
                <w:rFonts w:eastAsia="Arial Unicode MS"/>
              </w:rPr>
              <w:t>) третий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BDC" w:rsidRDefault="00100BDC" w:rsidP="00BB7D8A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>Аккредитовать</w:t>
            </w:r>
          </w:p>
          <w:p w:rsidR="00100BDC" w:rsidRDefault="00100BDC" w:rsidP="00BB7D8A">
            <w:pPr>
              <w:rPr>
                <w:rFonts w:eastAsia="Arial Unicode MS"/>
              </w:rPr>
            </w:pPr>
          </w:p>
        </w:tc>
      </w:tr>
    </w:tbl>
    <w:p w:rsidR="00BB176E" w:rsidRDefault="00BB176E">
      <w:pPr>
        <w:rPr>
          <w:lang w:val="en-US"/>
        </w:rPr>
      </w:pPr>
    </w:p>
    <w:p w:rsidR="00E328D3" w:rsidRPr="00E328D3" w:rsidRDefault="00E328D3" w:rsidP="00E328D3">
      <w:pPr>
        <w:ind w:left="4320" w:hanging="4320"/>
      </w:pPr>
      <w:r>
        <w:t xml:space="preserve">                                                     </w:t>
      </w:r>
      <w:r w:rsidRPr="00E328D3">
        <w:t>Председатель комиссии:</w:t>
      </w:r>
      <w:r w:rsidRPr="00E328D3">
        <w:tab/>
      </w:r>
      <w:r>
        <w:t xml:space="preserve">                                                                               </w:t>
      </w:r>
      <w:r w:rsidRPr="00E328D3">
        <w:t>Н.Н. Коновалов</w:t>
      </w:r>
    </w:p>
    <w:p w:rsidR="00BB176E" w:rsidRPr="00E328D3" w:rsidRDefault="00E328D3" w:rsidP="00E328D3">
      <w:pPr>
        <w:ind w:left="4320" w:hanging="4320"/>
      </w:pPr>
      <w:r>
        <w:t xml:space="preserve">                                                     </w:t>
      </w:r>
      <w:r w:rsidRPr="00E328D3">
        <w:t>Секретарь комиссии:</w:t>
      </w:r>
      <w:r w:rsidRPr="00E328D3">
        <w:tab/>
      </w:r>
      <w:r>
        <w:t xml:space="preserve">                                                                                           </w:t>
      </w:r>
      <w:bookmarkStart w:id="0" w:name="_GoBack"/>
      <w:bookmarkEnd w:id="0"/>
      <w:r w:rsidRPr="00E328D3">
        <w:t>В.С. Вершинин</w:t>
      </w:r>
    </w:p>
    <w:sectPr w:rsidR="00BB176E" w:rsidRPr="00E328D3">
      <w:headerReference w:type="default" r:id="rId8"/>
      <w:pgSz w:w="16838" w:h="11906" w:orient="landscape" w:code="9"/>
      <w:pgMar w:top="125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BDC" w:rsidRDefault="00100BDC">
      <w:r>
        <w:separator/>
      </w:r>
    </w:p>
  </w:endnote>
  <w:endnote w:type="continuationSeparator" w:id="0">
    <w:p w:rsidR="00100BDC" w:rsidRDefault="00100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BDC" w:rsidRDefault="00100BDC">
      <w:r>
        <w:separator/>
      </w:r>
    </w:p>
  </w:footnote>
  <w:footnote w:type="continuationSeparator" w:id="0">
    <w:p w:rsidR="00100BDC" w:rsidRDefault="00100BDC">
      <w:r>
        <w:continuationSeparator/>
      </w:r>
    </w:p>
  </w:footnote>
  <w:footnote w:id="1">
    <w:p w:rsidR="00BB176E" w:rsidRPr="00EF3A92" w:rsidRDefault="00BB176E">
      <w:pPr>
        <w:pStyle w:val="a6"/>
      </w:pPr>
      <w:r w:rsidRPr="00EF3A92">
        <w:rPr>
          <w:rStyle w:val="a7"/>
        </w:rPr>
        <w:t>1</w:t>
      </w:r>
      <w:r w:rsidRPr="00EF3A92">
        <w:t xml:space="preserve">  Обозначения после названия организации:   </w:t>
      </w:r>
      <w:r w:rsidRPr="00EF3A92">
        <w:rPr>
          <w:bCs/>
        </w:rPr>
        <w:t>ПРВ</w:t>
      </w:r>
      <w:r w:rsidRPr="00EF3A92">
        <w:t xml:space="preserve"> - первичная аккредитация</w:t>
      </w:r>
      <w:r w:rsidRPr="00EF3A92">
        <w:rPr>
          <w:bCs/>
        </w:rPr>
        <w:t>;  РСШ</w:t>
      </w:r>
      <w:r w:rsidRPr="00EF3A92">
        <w:t xml:space="preserve"> – расширение области аккредитации;  </w:t>
      </w:r>
      <w:r w:rsidRPr="00EF3A92">
        <w:rPr>
          <w:bCs/>
        </w:rPr>
        <w:t>ПВТ</w:t>
      </w:r>
      <w:r w:rsidRPr="00EF3A92">
        <w:t xml:space="preserve"> – повторная аккредитация</w:t>
      </w:r>
    </w:p>
    <w:p w:rsidR="00BB176E" w:rsidRDefault="00BB176E">
      <w:pPr>
        <w:pStyle w:val="a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054" w:rsidRDefault="004B6054" w:rsidP="004B6054">
    <w:pPr>
      <w:pStyle w:val="a5"/>
      <w:jc w:val="right"/>
    </w:pPr>
    <w:r>
      <w:t xml:space="preserve">Страница </w:t>
    </w:r>
    <w:r>
      <w:rPr>
        <w:rStyle w:val="af"/>
      </w:rPr>
      <w:fldChar w:fldCharType="begin"/>
    </w:r>
    <w:r>
      <w:rPr>
        <w:rStyle w:val="af"/>
      </w:rPr>
      <w:instrText xml:space="preserve"> PAGE </w:instrText>
    </w:r>
    <w:r>
      <w:rPr>
        <w:rStyle w:val="af"/>
      </w:rPr>
      <w:fldChar w:fldCharType="separate"/>
    </w:r>
    <w:r w:rsidR="00E328D3">
      <w:rPr>
        <w:rStyle w:val="af"/>
        <w:noProof/>
      </w:rPr>
      <w:t>5</w:t>
    </w:r>
    <w:r>
      <w:rPr>
        <w:rStyle w:val="af"/>
      </w:rPr>
      <w:fldChar w:fldCharType="end"/>
    </w:r>
    <w:r>
      <w:rPr>
        <w:rStyle w:val="af"/>
      </w:rPr>
      <w:t xml:space="preserve"> из </w:t>
    </w:r>
    <w:r>
      <w:rPr>
        <w:rStyle w:val="af"/>
      </w:rPr>
      <w:fldChar w:fldCharType="begin"/>
    </w:r>
    <w:r>
      <w:rPr>
        <w:rStyle w:val="af"/>
      </w:rPr>
      <w:instrText xml:space="preserve"> NUMPAGES </w:instrText>
    </w:r>
    <w:r>
      <w:rPr>
        <w:rStyle w:val="af"/>
      </w:rPr>
      <w:fldChar w:fldCharType="separate"/>
    </w:r>
    <w:r w:rsidR="00E328D3">
      <w:rPr>
        <w:rStyle w:val="af"/>
        <w:noProof/>
      </w:rPr>
      <w:t>5</w:t>
    </w:r>
    <w:r>
      <w:rPr>
        <w:rStyle w:val="af"/>
      </w:rPr>
      <w:fldChar w:fldCharType="end"/>
    </w:r>
  </w:p>
  <w:p w:rsidR="00BB176E" w:rsidRDefault="00BB176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38727F"/>
    <w:multiLevelType w:val="multilevel"/>
    <w:tmpl w:val="6D6067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61AF4A08"/>
    <w:multiLevelType w:val="multilevel"/>
    <w:tmpl w:val="9DB266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131077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D75"/>
    <w:rsid w:val="00027EC1"/>
    <w:rsid w:val="00100BDC"/>
    <w:rsid w:val="00253A66"/>
    <w:rsid w:val="0046325A"/>
    <w:rsid w:val="004B6054"/>
    <w:rsid w:val="004C55F7"/>
    <w:rsid w:val="005075F2"/>
    <w:rsid w:val="00631714"/>
    <w:rsid w:val="0063689C"/>
    <w:rsid w:val="006622B3"/>
    <w:rsid w:val="006C1A81"/>
    <w:rsid w:val="007646D9"/>
    <w:rsid w:val="00844F18"/>
    <w:rsid w:val="009E5368"/>
    <w:rsid w:val="009E6232"/>
    <w:rsid w:val="00BB176E"/>
    <w:rsid w:val="00E30D75"/>
    <w:rsid w:val="00E328D3"/>
    <w:rsid w:val="00EA734C"/>
    <w:rsid w:val="00E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Subtitle"/>
    <w:basedOn w:val="a"/>
    <w:qFormat/>
    <w:pPr>
      <w:jc w:val="center"/>
    </w:pPr>
    <w:rPr>
      <w:sz w:val="28"/>
      <w:szCs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note text"/>
    <w:basedOn w:val="a"/>
    <w:semiHidden/>
    <w:rPr>
      <w:sz w:val="20"/>
      <w:szCs w:val="20"/>
    </w:rPr>
  </w:style>
  <w:style w:type="paragraph" w:styleId="20">
    <w:name w:val="Body Text 2"/>
    <w:basedOn w:val="a"/>
    <w:rPr>
      <w:b/>
      <w:szCs w:val="20"/>
    </w:rPr>
  </w:style>
  <w:style w:type="paragraph" w:customStyle="1" w:styleId="10">
    <w:name w:val="ПЗАГ1"/>
    <w:basedOn w:val="a"/>
    <w:pPr>
      <w:spacing w:before="240" w:after="240"/>
    </w:pPr>
    <w:rPr>
      <w:rFonts w:eastAsia="Tahoma"/>
      <w:b/>
      <w:sz w:val="22"/>
      <w:szCs w:val="20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Strong"/>
    <w:basedOn w:val="a0"/>
    <w:qFormat/>
    <w:rPr>
      <w:b/>
      <w:bCs/>
    </w:rPr>
  </w:style>
  <w:style w:type="paragraph" w:styleId="a9">
    <w:name w:val="caption"/>
    <w:basedOn w:val="a"/>
    <w:next w:val="a"/>
    <w:qFormat/>
    <w:pPr>
      <w:jc w:val="center"/>
    </w:pPr>
    <w:rPr>
      <w:b/>
      <w:bCs/>
      <w:sz w:val="22"/>
      <w:szCs w:val="20"/>
    </w:rPr>
  </w:style>
  <w:style w:type="paragraph" w:styleId="aa">
    <w:name w:val="Body Text Indent"/>
    <w:basedOn w:val="a"/>
    <w:pPr>
      <w:spacing w:line="288" w:lineRule="auto"/>
      <w:ind w:firstLine="360"/>
    </w:pPr>
    <w:rPr>
      <w:sz w:val="2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c">
    <w:name w:val="Emphasis"/>
    <w:basedOn w:val="a0"/>
    <w:qFormat/>
    <w:rPr>
      <w:i/>
      <w:iCs/>
    </w:rPr>
  </w:style>
  <w:style w:type="character" w:styleId="ad">
    <w:name w:val="Hyperlink"/>
    <w:basedOn w:val="a0"/>
    <w:rPr>
      <w:color w:val="0000FF"/>
      <w:u w:val="single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B60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Cs w:val="2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b/>
      <w:sz w:val="28"/>
      <w:szCs w:val="20"/>
    </w:rPr>
  </w:style>
  <w:style w:type="paragraph" w:styleId="a4">
    <w:name w:val="Subtitle"/>
    <w:basedOn w:val="a"/>
    <w:qFormat/>
    <w:pPr>
      <w:jc w:val="center"/>
    </w:pPr>
    <w:rPr>
      <w:sz w:val="28"/>
      <w:szCs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footnote text"/>
    <w:basedOn w:val="a"/>
    <w:semiHidden/>
    <w:rPr>
      <w:sz w:val="20"/>
      <w:szCs w:val="20"/>
    </w:rPr>
  </w:style>
  <w:style w:type="paragraph" w:styleId="20">
    <w:name w:val="Body Text 2"/>
    <w:basedOn w:val="a"/>
    <w:rPr>
      <w:b/>
      <w:szCs w:val="20"/>
    </w:rPr>
  </w:style>
  <w:style w:type="paragraph" w:customStyle="1" w:styleId="10">
    <w:name w:val="ПЗАГ1"/>
    <w:basedOn w:val="a"/>
    <w:pPr>
      <w:spacing w:before="240" w:after="240"/>
    </w:pPr>
    <w:rPr>
      <w:rFonts w:eastAsia="Tahoma"/>
      <w:b/>
      <w:sz w:val="22"/>
      <w:szCs w:val="20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Strong"/>
    <w:basedOn w:val="a0"/>
    <w:qFormat/>
    <w:rPr>
      <w:b/>
      <w:bCs/>
    </w:rPr>
  </w:style>
  <w:style w:type="paragraph" w:styleId="a9">
    <w:name w:val="caption"/>
    <w:basedOn w:val="a"/>
    <w:next w:val="a"/>
    <w:qFormat/>
    <w:pPr>
      <w:jc w:val="center"/>
    </w:pPr>
    <w:rPr>
      <w:b/>
      <w:bCs/>
      <w:sz w:val="22"/>
      <w:szCs w:val="20"/>
    </w:rPr>
  </w:style>
  <w:style w:type="paragraph" w:styleId="aa">
    <w:name w:val="Body Text Indent"/>
    <w:basedOn w:val="a"/>
    <w:pPr>
      <w:spacing w:line="288" w:lineRule="auto"/>
      <w:ind w:firstLine="360"/>
    </w:pPr>
    <w:rPr>
      <w:sz w:val="20"/>
    </w:rPr>
  </w:style>
  <w:style w:type="paragraph" w:styleId="ab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c">
    <w:name w:val="Emphasis"/>
    <w:basedOn w:val="a0"/>
    <w:qFormat/>
    <w:rPr>
      <w:i/>
      <w:iCs/>
    </w:rPr>
  </w:style>
  <w:style w:type="character" w:styleId="ad">
    <w:name w:val="Hyperlink"/>
    <w:basedOn w:val="a0"/>
    <w:rPr>
      <w:color w:val="0000FF"/>
      <w:u w:val="single"/>
    </w:r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character" w:styleId="af">
    <w:name w:val="page number"/>
    <w:basedOn w:val="a0"/>
    <w:rsid w:val="004B60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>НТЦ</Company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Surkova</dc:creator>
  <cp:lastModifiedBy>Surkova</cp:lastModifiedBy>
  <cp:revision>2</cp:revision>
  <cp:lastPrinted>2008-07-04T10:51:00Z</cp:lastPrinted>
  <dcterms:created xsi:type="dcterms:W3CDTF">2020-11-10T09:09:00Z</dcterms:created>
  <dcterms:modified xsi:type="dcterms:W3CDTF">2020-11-10T09:36:00Z</dcterms:modified>
</cp:coreProperties>
</file>